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8F" w:rsidRDefault="00590C8F" w:rsidP="00590C8F">
      <w:pPr>
        <w:tabs>
          <w:tab w:val="left" w:pos="2115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Gosforth Parish Council</w:t>
      </w:r>
    </w:p>
    <w:p w:rsidR="00590C8F" w:rsidRDefault="00590C8F" w:rsidP="00590C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Annual Meeting of North Gosforth Parish Council held in St Aidan’s Community Centre, Brunton Park on Wednesday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May 201</w:t>
      </w:r>
      <w:r>
        <w:rPr>
          <w:rFonts w:ascii="Arial" w:hAnsi="Arial" w:cs="Arial"/>
          <w:sz w:val="24"/>
          <w:szCs w:val="24"/>
        </w:rPr>
        <w:t>9</w:t>
      </w:r>
    </w:p>
    <w:p w:rsidR="00590C8F" w:rsidRDefault="00590C8F" w:rsidP="00590C8F">
      <w:pPr>
        <w:pStyle w:val="NoSpacing"/>
        <w:rPr>
          <w:rFonts w:ascii="Arial" w:hAnsi="Arial" w:cs="Arial"/>
          <w:sz w:val="24"/>
          <w:szCs w:val="24"/>
        </w:rPr>
      </w:pPr>
    </w:p>
    <w:p w:rsidR="00590C8F" w:rsidRDefault="00590C8F" w:rsidP="00590C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Councillors Agnew, Cooke, Duell, Hay, Loftus, Mears and Phillipson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0C8F" w:rsidRDefault="00590C8F" w:rsidP="00590C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and Robinson</w:t>
      </w:r>
    </w:p>
    <w:p w:rsidR="00590C8F" w:rsidRDefault="00590C8F" w:rsidP="00590C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90C8F" w:rsidRDefault="00590C8F" w:rsidP="00590C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 I Humphries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- Clerk</w:t>
      </w:r>
    </w:p>
    <w:p w:rsidR="00590C8F" w:rsidRDefault="00590C8F" w:rsidP="00590C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Councillor Down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- Newcastle City Council</w:t>
      </w:r>
    </w:p>
    <w:p w:rsidR="00590C8F" w:rsidRDefault="00590C8F" w:rsidP="00590C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Councillor Morrissey - </w:t>
      </w:r>
      <w:r>
        <w:rPr>
          <w:rFonts w:ascii="Arial" w:hAnsi="Arial" w:cs="Arial"/>
          <w:sz w:val="24"/>
          <w:szCs w:val="24"/>
        </w:rPr>
        <w:t>Newcastle City Council</w:t>
      </w:r>
    </w:p>
    <w:p w:rsidR="00590C8F" w:rsidRDefault="00590C8F" w:rsidP="00590C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Group Scout Leader - Brunton Scout Group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0C8F" w:rsidRDefault="00590C8F" w:rsidP="00590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590C8F" w:rsidTr="00590C8F">
        <w:tc>
          <w:tcPr>
            <w:tcW w:w="704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Apology for absence</w:t>
            </w:r>
          </w:p>
          <w:p w:rsidR="00590C8F" w:rsidRDefault="00590C8F" w:rsidP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apologies for absence.</w:t>
            </w:r>
          </w:p>
          <w:p w:rsidR="00590C8F" w:rsidRDefault="00590C8F" w:rsidP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12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 of Chair</w:t>
            </w:r>
          </w:p>
        </w:tc>
      </w:tr>
      <w:tr w:rsidR="00590C8F" w:rsidTr="00590C8F">
        <w:tc>
          <w:tcPr>
            <w:tcW w:w="704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Councillor Agnew be appointed Chair of the Parish 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Council for the ensuing Municipal year.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 w:rsidP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312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 of Vice Chair</w:t>
            </w:r>
          </w:p>
        </w:tc>
      </w:tr>
      <w:tr w:rsidR="00590C8F" w:rsidTr="00590C8F">
        <w:tc>
          <w:tcPr>
            <w:tcW w:w="704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Councillor Cooke be appointed Vice Chair of the 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Parish Council for the ensuing Municipal year.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312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590C8F" w:rsidTr="00590C8F">
        <w:tc>
          <w:tcPr>
            <w:tcW w:w="704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minutes of the meeting held on </w:t>
            </w:r>
            <w:r>
              <w:rPr>
                <w:rFonts w:ascii="Arial" w:hAnsi="Arial" w:cs="Arial"/>
                <w:sz w:val="24"/>
                <w:szCs w:val="24"/>
              </w:rPr>
              <w:t>17 April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confirmed as a correct record and signed by the Chair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0C8F" w:rsidRDefault="00590C8F">
            <w:pPr>
              <w:pStyle w:val="ListParagraph"/>
              <w:spacing w:line="240" w:lineRule="auto"/>
              <w:ind w:left="3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 from the minutes of the previous meeting</w:t>
            </w:r>
          </w:p>
          <w:p w:rsidR="00590C8F" w:rsidRDefault="00CD148F" w:rsidP="00CD148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changes to the 46A bus service had improved travel in the early morning. It was also noted that some buses were travelling too fast along South Bend.</w:t>
            </w:r>
          </w:p>
          <w:p w:rsidR="00CD148F" w:rsidRDefault="00CD148F" w:rsidP="00CD148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 Social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Behaviour  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area was being addressed.</w:t>
            </w:r>
          </w:p>
          <w:p w:rsidR="00CD148F" w:rsidRDefault="00CD148F" w:rsidP="00CD148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B30A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lwell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A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ay fence had now been repaired.</w:t>
            </w:r>
          </w:p>
          <w:p w:rsidR="00CD148F" w:rsidRDefault="00CD148F" w:rsidP="00CD148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Re-seeding had taken place and was being monitored.</w:t>
            </w:r>
          </w:p>
          <w:p w:rsidR="00CD148F" w:rsidRDefault="00CD148F" w:rsidP="00CD148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new Speed</w:t>
            </w:r>
            <w:r w:rsidR="00B30AF8">
              <w:rPr>
                <w:rFonts w:ascii="Arial" w:hAnsi="Arial" w:cs="Arial"/>
                <w:sz w:val="24"/>
                <w:szCs w:val="24"/>
              </w:rPr>
              <w:t>-W</w:t>
            </w:r>
            <w:r>
              <w:rPr>
                <w:rFonts w:ascii="Arial" w:hAnsi="Arial" w:cs="Arial"/>
                <w:sz w:val="24"/>
                <w:szCs w:val="24"/>
              </w:rPr>
              <w:t>atch volunteer had been found.</w:t>
            </w:r>
          </w:p>
          <w:p w:rsidR="00CD148F" w:rsidRDefault="00CD148F" w:rsidP="00CD148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marking was needed in many streets in the area.</w:t>
            </w:r>
          </w:p>
          <w:p w:rsidR="00CD148F" w:rsidRDefault="00CD148F" w:rsidP="00CD148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 was expressed regarding the new double yellow lining on the GNR service road. Residents had objected</w:t>
            </w:r>
            <w:r w:rsidR="00B30AF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no-one could recall the Notice being put up regarding the necessary Traffic Order.</w:t>
            </w:r>
          </w:p>
          <w:p w:rsidR="00CD148F" w:rsidRDefault="00CD148F" w:rsidP="00CD148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312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Matters</w:t>
            </w:r>
          </w:p>
        </w:tc>
      </w:tr>
      <w:tr w:rsidR="00590C8F" w:rsidTr="00590C8F">
        <w:tc>
          <w:tcPr>
            <w:tcW w:w="704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312" w:type="dxa"/>
          </w:tcPr>
          <w:p w:rsidR="00590C8F" w:rsidRDefault="00590C8F" w:rsidP="008D66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Annual Governance Statement 2016/2017 (Section 1)</w:t>
            </w: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 Annual governance statement submitted to </w:t>
            </w: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this meeting for the year ended 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</w:t>
            </w:r>
            <w:r w:rsidR="00CD148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be  </w:t>
            </w: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approved.</w:t>
            </w: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 w:rsidP="008D66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Statement of Accounts 2017/2018 (Section 2)</w:t>
            </w:r>
          </w:p>
          <w:p w:rsidR="00590C8F" w:rsidRDefault="00590C8F">
            <w:pPr>
              <w:spacing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90C8F" w:rsidRDefault="00590C8F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submitted the statement of accounts and copies of the trial balance for the year ended 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201</w:t>
            </w:r>
            <w:r w:rsidR="00CD148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0C8F" w:rsidRDefault="00590C8F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Resolved: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 statement of accounts for the year ended 31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0C8F" w:rsidRDefault="00590C8F">
            <w:pPr>
              <w:spacing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March 201</w:t>
            </w:r>
            <w:r w:rsidR="00CD148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as submitted be approved.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0C8F" w:rsidRDefault="00590C8F" w:rsidP="008D66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 for payment</w:t>
            </w: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payments were approved -</w:t>
            </w: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Robertson – Standing Order £453.10</w:t>
            </w: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         - Standing Order £320.00</w:t>
            </w: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                                   £80.00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Correspondence </w:t>
            </w:r>
          </w:p>
          <w:p w:rsidR="00590C8F" w:rsidRDefault="00CD14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were reminded to complete and return Declaration of interest forms.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9.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Parish Council was consulted on the following issues and made the decisions indicated 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094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CD148F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BD7094">
              <w:rPr>
                <w:rFonts w:ascii="Arial" w:hAnsi="Arial" w:cs="Arial"/>
                <w:b/>
                <w:sz w:val="24"/>
                <w:szCs w:val="24"/>
              </w:rPr>
              <w:t>54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/01/DET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094">
              <w:rPr>
                <w:rFonts w:ascii="Arial" w:hAnsi="Arial" w:cs="Arial"/>
                <w:sz w:val="24"/>
                <w:szCs w:val="24"/>
              </w:rPr>
              <w:t>42 and 44 The Fairway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D7094">
              <w:rPr>
                <w:rFonts w:ascii="Arial" w:hAnsi="Arial" w:cs="Arial"/>
                <w:sz w:val="24"/>
                <w:szCs w:val="24"/>
              </w:rPr>
              <w:t xml:space="preserve">(No.42)      </w:t>
            </w:r>
            <w:r w:rsidR="00BD7094">
              <w:rPr>
                <w:rFonts w:ascii="Arial" w:hAnsi="Arial" w:cs="Arial"/>
                <w:b/>
                <w:sz w:val="24"/>
                <w:szCs w:val="24"/>
              </w:rPr>
              <w:t>No Objection</w:t>
            </w:r>
          </w:p>
          <w:p w:rsidR="00BD7094" w:rsidRDefault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590C8F">
              <w:rPr>
                <w:rFonts w:ascii="Arial" w:hAnsi="Arial" w:cs="Arial"/>
                <w:sz w:val="24"/>
                <w:szCs w:val="24"/>
              </w:rPr>
              <w:t>Erection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C8F">
              <w:rPr>
                <w:rFonts w:ascii="Arial" w:hAnsi="Arial" w:cs="Arial"/>
                <w:sz w:val="24"/>
                <w:szCs w:val="24"/>
              </w:rPr>
              <w:t xml:space="preserve">of single storey extension </w:t>
            </w:r>
          </w:p>
          <w:p w:rsidR="00BD7094" w:rsidRDefault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590C8F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side and </w:t>
            </w:r>
            <w:r w:rsidR="00590C8F">
              <w:rPr>
                <w:rFonts w:ascii="Arial" w:hAnsi="Arial" w:cs="Arial"/>
                <w:sz w:val="24"/>
                <w:szCs w:val="24"/>
              </w:rPr>
              <w:t xml:space="preserve">rear following demolition </w:t>
            </w:r>
          </w:p>
          <w:p w:rsidR="00BD7094" w:rsidRDefault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590C8F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existing garage</w:t>
            </w:r>
            <w:r w:rsidR="00590C8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7094" w:rsidRDefault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(No.44) Erection of hip to gable roof </w:t>
            </w:r>
          </w:p>
          <w:p w:rsidR="00BD7094" w:rsidRDefault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extension and dormer to rear, single </w:t>
            </w:r>
          </w:p>
          <w:p w:rsidR="00590C8F" w:rsidRDefault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storey extensions to side and rear</w:t>
            </w:r>
            <w:r w:rsidR="00590C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BD7094" w:rsidRDefault="00590C8F" w:rsidP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D7094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/052</w:t>
            </w:r>
            <w:r w:rsidR="00BD709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/01/</w:t>
            </w:r>
            <w:r w:rsidR="00BD7094">
              <w:rPr>
                <w:rFonts w:ascii="Arial" w:hAnsi="Arial" w:cs="Arial"/>
                <w:b/>
                <w:sz w:val="24"/>
                <w:szCs w:val="24"/>
              </w:rPr>
              <w:t>LDC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BD7094">
              <w:rPr>
                <w:rFonts w:ascii="Arial" w:hAnsi="Arial" w:cs="Arial"/>
                <w:sz w:val="24"/>
                <w:szCs w:val="24"/>
              </w:rPr>
              <w:t xml:space="preserve">47 </w:t>
            </w:r>
            <w:proofErr w:type="spellStart"/>
            <w:r w:rsidR="00BD7094">
              <w:rPr>
                <w:rFonts w:ascii="Arial" w:hAnsi="Arial" w:cs="Arial"/>
                <w:sz w:val="24"/>
                <w:szCs w:val="24"/>
              </w:rPr>
              <w:t>Netherwitton</w:t>
            </w:r>
            <w:proofErr w:type="spellEnd"/>
            <w:r w:rsidR="00BD7094">
              <w:rPr>
                <w:rFonts w:ascii="Arial" w:hAnsi="Arial" w:cs="Arial"/>
                <w:sz w:val="24"/>
                <w:szCs w:val="24"/>
              </w:rPr>
              <w:t xml:space="preserve"> Way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D7094">
              <w:rPr>
                <w:rFonts w:ascii="Arial" w:hAnsi="Arial" w:cs="Arial"/>
                <w:sz w:val="24"/>
                <w:szCs w:val="24"/>
              </w:rPr>
              <w:t xml:space="preserve">Lawful              </w:t>
            </w:r>
            <w:r w:rsidR="00BD7094" w:rsidRPr="00BD7094">
              <w:rPr>
                <w:rFonts w:ascii="Arial" w:hAnsi="Arial" w:cs="Arial"/>
                <w:b/>
                <w:sz w:val="24"/>
                <w:szCs w:val="24"/>
              </w:rPr>
              <w:t>Noted</w:t>
            </w:r>
          </w:p>
          <w:p w:rsidR="00BD7094" w:rsidRDefault="00BD7094" w:rsidP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Development Certificate for a </w:t>
            </w:r>
          </w:p>
          <w:p w:rsidR="00BD7094" w:rsidRDefault="00BD7094" w:rsidP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proposed single storey extension </w:t>
            </w:r>
          </w:p>
          <w:p w:rsidR="00590C8F" w:rsidRDefault="00BD7094" w:rsidP="00BD70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to rear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E00" w:rsidRDefault="00590C8F" w:rsidP="00E71E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D7094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BD709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/DET      </w:t>
            </w:r>
            <w:r w:rsidR="00E71E00" w:rsidRPr="00E71E00">
              <w:rPr>
                <w:rFonts w:ascii="Arial" w:hAnsi="Arial" w:cs="Arial"/>
                <w:sz w:val="24"/>
                <w:szCs w:val="24"/>
              </w:rPr>
              <w:t>4 Dukes Drive:</w:t>
            </w:r>
            <w:r w:rsidR="00E71E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1E00">
              <w:rPr>
                <w:rFonts w:ascii="Arial" w:hAnsi="Arial" w:cs="Arial"/>
                <w:sz w:val="24"/>
                <w:szCs w:val="24"/>
              </w:rPr>
              <w:t xml:space="preserve">Erection of single       </w:t>
            </w:r>
            <w:r w:rsidR="00E71E00">
              <w:rPr>
                <w:rFonts w:ascii="Arial" w:hAnsi="Arial" w:cs="Arial"/>
                <w:b/>
                <w:sz w:val="24"/>
                <w:szCs w:val="24"/>
              </w:rPr>
              <w:t>No Objection</w:t>
            </w:r>
          </w:p>
          <w:p w:rsidR="00E71E00" w:rsidRDefault="00E71E00" w:rsidP="00E71E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storey extension to side and rear </w:t>
            </w:r>
          </w:p>
          <w:p w:rsidR="00E71E00" w:rsidRDefault="00E71E00" w:rsidP="00E71E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following demolition of existing </w:t>
            </w:r>
          </w:p>
          <w:p w:rsidR="00590C8F" w:rsidRDefault="00E71E00" w:rsidP="00E71E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conservatory</w:t>
            </w:r>
            <w:r w:rsidR="00590C8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Issues</w:t>
            </w:r>
          </w:p>
          <w:p w:rsidR="00590C8F" w:rsidRDefault="00590C8F" w:rsidP="00E71E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E71E00">
              <w:rPr>
                <w:rFonts w:ascii="Arial" w:hAnsi="Arial" w:cs="Arial"/>
                <w:sz w:val="24"/>
                <w:szCs w:val="24"/>
              </w:rPr>
              <w:t xml:space="preserve">was noted that a TRO was advertised to enable works to Great North </w:t>
            </w:r>
            <w:r w:rsidR="00FF03D9">
              <w:rPr>
                <w:rFonts w:ascii="Arial" w:hAnsi="Arial" w:cs="Arial"/>
                <w:sz w:val="24"/>
                <w:szCs w:val="24"/>
              </w:rPr>
              <w:t>R</w:t>
            </w:r>
            <w:r w:rsidR="00E71E00">
              <w:rPr>
                <w:rFonts w:ascii="Arial" w:hAnsi="Arial" w:cs="Arial"/>
                <w:sz w:val="24"/>
                <w:szCs w:val="24"/>
              </w:rPr>
              <w:t>oad from 27 May.</w:t>
            </w:r>
          </w:p>
          <w:p w:rsidR="00E71E00" w:rsidRDefault="00E71E00" w:rsidP="00E71E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Community Centre AGM was t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 be held on 26 June.</w:t>
            </w:r>
          </w:p>
          <w:p w:rsidR="00E71E00" w:rsidRDefault="00E71E00" w:rsidP="00E71E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an arm missing from the seat on Lincoln Green.</w:t>
            </w:r>
          </w:p>
          <w:p w:rsidR="00E71E00" w:rsidRDefault="00E71E00" w:rsidP="00E71E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path on the GNR was not being used, with pedestrians preferring the cycleway because it had a smoother surface.</w:t>
            </w:r>
          </w:p>
          <w:p w:rsidR="00B30AF8" w:rsidRDefault="00B30AF8" w:rsidP="00E71E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City Council was reviewing the distribution of litter bins across the city.</w:t>
            </w:r>
          </w:p>
          <w:p w:rsidR="00B30AF8" w:rsidRDefault="00B30AF8" w:rsidP="00E71E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Morrissey undertook to action overgrown hedges covering the footpath in Arden Avenue and South Bend/Princess Road.</w:t>
            </w:r>
          </w:p>
          <w:p w:rsidR="00B30AF8" w:rsidRDefault="00B30AF8" w:rsidP="00E71E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were concerned at the poor state of the grass cutting along Great North Road with no strimming of grass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arounf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railing posts. Thistles were also growing on the Polwarth roundabout.</w:t>
            </w:r>
          </w:p>
          <w:p w:rsidR="00B30AF8" w:rsidRDefault="00B30AF8" w:rsidP="00E71E0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suggested that the grass at the top of Greenfield be included in the Robertson contract.</w:t>
            </w:r>
          </w:p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0C8F" w:rsidRDefault="00590C8F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8312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</w:tc>
      </w:tr>
      <w:tr w:rsidR="00590C8F" w:rsidTr="00590C8F">
        <w:tc>
          <w:tcPr>
            <w:tcW w:w="704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2" w:type="dxa"/>
            <w:hideMark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Agreed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the next meeting of the Parish Council be held on Wednesday </w:t>
            </w:r>
            <w:r w:rsidR="00B30AF8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</w:t>
            </w:r>
            <w:r w:rsidR="00B30AF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at 7.00pm in St Aiden’s Community Centre, Brunton Park.</w:t>
            </w: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C8F" w:rsidTr="00590C8F">
        <w:tc>
          <w:tcPr>
            <w:tcW w:w="704" w:type="dxa"/>
            <w:hideMark/>
          </w:tcPr>
          <w:p w:rsidR="00590C8F" w:rsidRDefault="00590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</w:tcPr>
          <w:p w:rsidR="00590C8F" w:rsidRDefault="00590C8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0C8F" w:rsidRDefault="00590C8F" w:rsidP="00590C8F"/>
    <w:p w:rsidR="008A37B8" w:rsidRDefault="008A37B8"/>
    <w:sectPr w:rsidR="008A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0C5C"/>
    <w:multiLevelType w:val="hybridMultilevel"/>
    <w:tmpl w:val="99CE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6C80"/>
    <w:multiLevelType w:val="hybridMultilevel"/>
    <w:tmpl w:val="736A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E5D6B"/>
    <w:multiLevelType w:val="hybridMultilevel"/>
    <w:tmpl w:val="7A0EE74E"/>
    <w:lvl w:ilvl="0" w:tplc="75F6FDF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F4FD1"/>
    <w:multiLevelType w:val="hybridMultilevel"/>
    <w:tmpl w:val="7BA6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8F"/>
    <w:rsid w:val="00590C8F"/>
    <w:rsid w:val="008A37B8"/>
    <w:rsid w:val="00B30AF8"/>
    <w:rsid w:val="00BD7094"/>
    <w:rsid w:val="00CD148F"/>
    <w:rsid w:val="00E71E0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9C2B"/>
  <w15:chartTrackingRefBased/>
  <w15:docId w15:val="{2E66C24F-24FD-4B65-941D-37223672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C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C8F"/>
    <w:pPr>
      <w:ind w:left="720"/>
      <w:contextualSpacing/>
    </w:pPr>
  </w:style>
  <w:style w:type="table" w:styleId="TableGrid">
    <w:name w:val="Table Grid"/>
    <w:basedOn w:val="TableNormal"/>
    <w:uiPriority w:val="39"/>
    <w:rsid w:val="00590C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3</cp:revision>
  <cp:lastPrinted>2019-06-12T10:53:00Z</cp:lastPrinted>
  <dcterms:created xsi:type="dcterms:W3CDTF">2019-06-12T10:04:00Z</dcterms:created>
  <dcterms:modified xsi:type="dcterms:W3CDTF">2019-06-12T10:53:00Z</dcterms:modified>
</cp:coreProperties>
</file>